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634B" w14:textId="77777777" w:rsidR="00A44C86" w:rsidRDefault="00A44C86" w:rsidP="00324CE0">
      <w:pPr>
        <w:keepNext/>
        <w:keepLines/>
        <w:spacing w:before="200" w:line="276" w:lineRule="auto"/>
        <w:ind w:firstLine="708"/>
        <w:jc w:val="center"/>
        <w:outlineLvl w:val="1"/>
        <w:rPr>
          <w:b/>
          <w:bCs/>
          <w:sz w:val="28"/>
          <w:szCs w:val="28"/>
          <w:lang w:val="en-US" w:eastAsia="en-US"/>
        </w:rPr>
      </w:pPr>
      <w:r w:rsidRPr="00C6420F">
        <w:rPr>
          <w:b/>
          <w:bCs/>
          <w:sz w:val="28"/>
          <w:szCs w:val="26"/>
          <w:lang w:eastAsia="en-US"/>
        </w:rPr>
        <w:t>Program</w:t>
      </w:r>
    </w:p>
    <w:p w14:paraId="120FEC85" w14:textId="07F16D9C" w:rsidR="00A44C86" w:rsidRPr="004A1983" w:rsidRDefault="00A44C86" w:rsidP="00A44C86">
      <w:pPr>
        <w:keepNext/>
        <w:keepLines/>
        <w:spacing w:before="200" w:line="276" w:lineRule="auto"/>
        <w:outlineLvl w:val="1"/>
        <w:rPr>
          <w:bCs/>
          <w:sz w:val="24"/>
          <w:szCs w:val="26"/>
          <w:lang w:val="en-US" w:eastAsia="en-US"/>
        </w:rPr>
      </w:pPr>
      <w:r w:rsidRPr="004A1983">
        <w:rPr>
          <w:bCs/>
          <w:sz w:val="24"/>
          <w:szCs w:val="26"/>
          <w:lang w:val="en-US" w:eastAsia="en-US"/>
        </w:rPr>
        <w:t>of the clinical practice hours on OBSTETRICS and GYNECOLOGY for students of the V-</w:t>
      </w:r>
      <w:proofErr w:type="spellStart"/>
      <w:r w:rsidRPr="004A1983">
        <w:rPr>
          <w:bCs/>
          <w:sz w:val="24"/>
          <w:szCs w:val="26"/>
          <w:lang w:val="en-US" w:eastAsia="en-US"/>
        </w:rPr>
        <w:t>th</w:t>
      </w:r>
      <w:proofErr w:type="spellEnd"/>
      <w:r w:rsidRPr="004A1983">
        <w:rPr>
          <w:bCs/>
          <w:sz w:val="24"/>
          <w:szCs w:val="26"/>
          <w:lang w:val="en-US" w:eastAsia="en-US"/>
        </w:rPr>
        <w:t xml:space="preserve"> year, faculty of general medicine of Medical University “N. </w:t>
      </w:r>
      <w:proofErr w:type="spellStart"/>
      <w:r w:rsidRPr="004A1983">
        <w:rPr>
          <w:bCs/>
          <w:sz w:val="24"/>
          <w:szCs w:val="26"/>
          <w:lang w:val="en-US" w:eastAsia="en-US"/>
        </w:rPr>
        <w:t>Testemitanu</w:t>
      </w:r>
      <w:proofErr w:type="spellEnd"/>
      <w:r w:rsidRPr="004A1983">
        <w:rPr>
          <w:bCs/>
          <w:sz w:val="24"/>
          <w:szCs w:val="26"/>
          <w:lang w:val="en-US" w:eastAsia="en-US"/>
        </w:rPr>
        <w:t xml:space="preserve">” for </w:t>
      </w:r>
      <w:r>
        <w:rPr>
          <w:bCs/>
          <w:sz w:val="24"/>
          <w:szCs w:val="26"/>
          <w:lang w:val="en-US" w:eastAsia="en-US"/>
        </w:rPr>
        <w:t>2020 -2021</w:t>
      </w:r>
      <w:r w:rsidRPr="008A0E76">
        <w:rPr>
          <w:bCs/>
          <w:sz w:val="24"/>
          <w:szCs w:val="26"/>
          <w:lang w:val="en-US" w:eastAsia="en-US"/>
        </w:rPr>
        <w:t xml:space="preserve"> academic year</w:t>
      </w:r>
      <w:r>
        <w:rPr>
          <w:bCs/>
          <w:sz w:val="24"/>
          <w:szCs w:val="26"/>
          <w:lang w:val="en-US" w:eastAsia="en-US"/>
        </w:rPr>
        <w:br/>
      </w:r>
      <w:bookmarkStart w:id="0" w:name="_GoBack"/>
      <w:bookmarkEnd w:id="0"/>
    </w:p>
    <w:tbl>
      <w:tblPr>
        <w:tblW w:w="1104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446"/>
        <w:gridCol w:w="1134"/>
      </w:tblGrid>
      <w:tr w:rsidR="00E92162" w:rsidRPr="006C093A" w14:paraId="65077876" w14:textId="77777777" w:rsidTr="00E92162">
        <w:trPr>
          <w:trHeight w:val="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9565" w14:textId="77777777" w:rsidR="00E92162" w:rsidRPr="006C093A" w:rsidRDefault="00E92162" w:rsidP="00324CE0">
            <w:pPr>
              <w:jc w:val="center"/>
              <w:rPr>
                <w:rFonts w:eastAsia="Calibri"/>
                <w:b/>
                <w:sz w:val="28"/>
                <w:szCs w:val="22"/>
                <w:lang w:val="de-DE" w:eastAsia="en-US"/>
              </w:rPr>
            </w:pPr>
            <w:proofErr w:type="spellStart"/>
            <w:r w:rsidRPr="006C093A">
              <w:rPr>
                <w:rFonts w:eastAsia="Calibri"/>
                <w:b/>
                <w:sz w:val="28"/>
                <w:szCs w:val="22"/>
                <w:lang w:val="de-DE" w:eastAsia="en-US"/>
              </w:rPr>
              <w:t>Nr</w:t>
            </w:r>
            <w:proofErr w:type="spellEnd"/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31570" w14:textId="77777777" w:rsidR="00E92162" w:rsidRPr="006C093A" w:rsidRDefault="00E92162" w:rsidP="00324CE0">
            <w:pPr>
              <w:jc w:val="center"/>
              <w:rPr>
                <w:rFonts w:eastAsia="Calibri"/>
                <w:b/>
                <w:sz w:val="28"/>
                <w:szCs w:val="22"/>
                <w:lang w:val="de-DE" w:eastAsia="en-US"/>
              </w:rPr>
            </w:pPr>
            <w:r w:rsidRPr="006C093A">
              <w:rPr>
                <w:rFonts w:eastAsia="Calibri"/>
                <w:b/>
                <w:sz w:val="28"/>
                <w:szCs w:val="22"/>
                <w:lang w:val="de-DE" w:eastAsia="en-US"/>
              </w:rPr>
              <w:t>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A4A0C" w14:textId="77777777" w:rsidR="00E92162" w:rsidRPr="006C093A" w:rsidRDefault="00E92162" w:rsidP="00324CE0">
            <w:pPr>
              <w:jc w:val="center"/>
              <w:rPr>
                <w:rFonts w:eastAsia="Calibri"/>
                <w:b/>
                <w:sz w:val="28"/>
                <w:szCs w:val="22"/>
                <w:lang w:val="de-DE" w:eastAsia="en-US"/>
              </w:rPr>
            </w:pPr>
            <w:r w:rsidRPr="006C093A">
              <w:rPr>
                <w:rFonts w:eastAsia="Calibri"/>
                <w:b/>
                <w:sz w:val="28"/>
                <w:szCs w:val="22"/>
                <w:lang w:val="de-DE" w:eastAsia="en-US"/>
              </w:rPr>
              <w:t xml:space="preserve">HOURS </w:t>
            </w:r>
          </w:p>
        </w:tc>
      </w:tr>
      <w:tr w:rsidR="00E92162" w:rsidRPr="004A1983" w14:paraId="1B3659D9" w14:textId="77777777" w:rsidTr="00E92162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5395B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646E0" w14:textId="77777777" w:rsidR="00E92162" w:rsidRPr="004A1983" w:rsidRDefault="00E92162" w:rsidP="00324CE0">
            <w:pPr>
              <w:rPr>
                <w:color w:val="000000"/>
                <w:sz w:val="24"/>
                <w:szCs w:val="26"/>
                <w:lang w:eastAsia="ro-RO"/>
              </w:rPr>
            </w:pPr>
            <w:r w:rsidRPr="004A1983">
              <w:rPr>
                <w:color w:val="000000"/>
                <w:sz w:val="24"/>
                <w:szCs w:val="26"/>
                <w:lang w:val="en-US" w:eastAsia="ro-RO"/>
              </w:rPr>
              <w:t>Anatomy of female genital organs (anat</w:t>
            </w:r>
            <w:r>
              <w:rPr>
                <w:color w:val="000000"/>
                <w:sz w:val="24"/>
                <w:szCs w:val="26"/>
                <w:lang w:val="en-US" w:eastAsia="ro-RO"/>
              </w:rPr>
              <w:t>omy of female genital organs</w:t>
            </w:r>
            <w:r w:rsidRPr="004A1983">
              <w:rPr>
                <w:color w:val="000000"/>
                <w:sz w:val="24"/>
                <w:szCs w:val="26"/>
                <w:lang w:val="en-US" w:eastAsia="ro-RO"/>
              </w:rPr>
              <w:t>, breast, obstetrical pelvis).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F204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5D38F2F4" w14:textId="77777777" w:rsidTr="00E92162">
        <w:trPr>
          <w:trHeight w:val="3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19DDF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2.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224CB" w14:textId="77777777" w:rsidR="00E92162" w:rsidRPr="004A1983" w:rsidRDefault="00E92162" w:rsidP="00324CE0">
            <w:pPr>
              <w:rPr>
                <w:color w:val="000000"/>
                <w:sz w:val="24"/>
                <w:szCs w:val="26"/>
                <w:lang w:eastAsia="ro-RO"/>
              </w:rPr>
            </w:pPr>
            <w:r w:rsidRPr="004A1983">
              <w:rPr>
                <w:color w:val="000000"/>
                <w:sz w:val="24"/>
                <w:szCs w:val="26"/>
                <w:lang w:val="en-US" w:eastAsia="ro-RO"/>
              </w:rPr>
              <w:t xml:space="preserve">Symptoms of gynecological diseases. Methods of examination in obstetrics and gynecology.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A3CBD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0D574DC4" w14:textId="77777777" w:rsidTr="00E92162">
        <w:trPr>
          <w:trHeight w:val="3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D61BD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3.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8D78" w14:textId="77777777" w:rsidR="00E92162" w:rsidRPr="004A1983" w:rsidRDefault="00E92162" w:rsidP="00324CE0">
            <w:pPr>
              <w:rPr>
                <w:color w:val="000000"/>
                <w:sz w:val="24"/>
                <w:szCs w:val="26"/>
                <w:lang w:eastAsia="ro-RO"/>
              </w:rPr>
            </w:pPr>
            <w:r w:rsidRPr="004A1983">
              <w:rPr>
                <w:color w:val="000000"/>
                <w:sz w:val="24"/>
                <w:szCs w:val="26"/>
                <w:lang w:val="en-US" w:eastAsia="ro-RO"/>
              </w:rPr>
              <w:t xml:space="preserve">Menstrual cycle regulation. Menstrual cycle disturbances. Abnormal uterine bleeding. Dysmenorrhea.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EE72D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4296E2CB" w14:textId="77777777" w:rsidTr="00E92162">
        <w:trPr>
          <w:trHeight w:val="1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F1651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4.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81185" w14:textId="77777777" w:rsidR="00E92162" w:rsidRPr="004A1983" w:rsidRDefault="00E92162" w:rsidP="00324CE0">
            <w:pPr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color w:val="000000"/>
                <w:sz w:val="24"/>
                <w:szCs w:val="26"/>
                <w:lang w:val="en-US" w:eastAsia="ro-RO"/>
              </w:rPr>
              <w:t>Menstrual cycle disturbances. Amenorrhea.  Premenstrual syndrome. Neuro-endocrine syndromes. Principles of hormonal therapy in gynecology.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4EAF8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39B8BFC3" w14:textId="77777777" w:rsidTr="00E92162">
        <w:trPr>
          <w:trHeight w:val="1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75027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AA9CE" w14:textId="77777777" w:rsidR="00E92162" w:rsidRPr="004A1983" w:rsidRDefault="00E92162" w:rsidP="00324CE0">
            <w:pPr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Pediatric gynecology. Normal and pathological puberty. Disturbances of sex differentiation. Congenital anomalies of the reproductive tract.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1222C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1AED28A1" w14:textId="77777777" w:rsidTr="00E92162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16424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6.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BC424" w14:textId="77777777" w:rsidR="00E92162" w:rsidRPr="004A1983" w:rsidRDefault="00E92162" w:rsidP="00324CE0">
            <w:pPr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color w:val="000000"/>
                <w:sz w:val="24"/>
                <w:szCs w:val="26"/>
                <w:lang w:val="en-US" w:eastAsia="ro-RO"/>
              </w:rPr>
              <w:t>Family planning. Methods of contraception. Abortion.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9E14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44CC4E0B" w14:textId="77777777" w:rsidTr="00E92162">
        <w:trPr>
          <w:trHeight w:val="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C6748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7.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2F0E1" w14:textId="77777777" w:rsidR="00E92162" w:rsidRPr="004A1983" w:rsidRDefault="00E92162" w:rsidP="00324CE0">
            <w:pPr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Pelvic inflammatory diseases. Sexually transmitted diseases. Infections of lower genital tract.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F924D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27881F4F" w14:textId="77777777" w:rsidTr="00E92162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AE412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8.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6BD8" w14:textId="77777777" w:rsidR="00E92162" w:rsidRPr="004A1983" w:rsidRDefault="00E92162" w:rsidP="00324CE0">
            <w:pPr>
              <w:rPr>
                <w:sz w:val="24"/>
                <w:szCs w:val="26"/>
                <w:lang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Gynecological emergencies. Acute abdomen in gynecology. Operative gynecology. Mini-invasive gynecological surgery.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2071F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3D1BB9C2" w14:textId="77777777" w:rsidTr="00E92162">
        <w:trPr>
          <w:trHeight w:val="1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5D4AB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9.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C7C16" w14:textId="77777777" w:rsidR="00E92162" w:rsidRPr="004A1983" w:rsidRDefault="00E92162" w:rsidP="00324CE0">
            <w:pPr>
              <w:rPr>
                <w:sz w:val="24"/>
                <w:szCs w:val="26"/>
                <w:lang w:eastAsia="ro-RO"/>
              </w:rPr>
            </w:pPr>
            <w:r w:rsidRPr="004A1983">
              <w:rPr>
                <w:sz w:val="24"/>
                <w:szCs w:val="26"/>
                <w:lang w:eastAsia="ro-RO"/>
              </w:rPr>
              <w:t xml:space="preserve">Pre-cancer </w:t>
            </w:r>
            <w:proofErr w:type="spellStart"/>
            <w:r w:rsidRPr="004A1983">
              <w:rPr>
                <w:sz w:val="24"/>
                <w:szCs w:val="26"/>
                <w:lang w:eastAsia="ro-RO"/>
              </w:rPr>
              <w:t>conditions</w:t>
            </w:r>
            <w:proofErr w:type="spellEnd"/>
            <w:r w:rsidRPr="004A1983">
              <w:rPr>
                <w:sz w:val="24"/>
                <w:szCs w:val="26"/>
                <w:lang w:eastAsia="ro-RO"/>
              </w:rPr>
              <w:t xml:space="preserve"> </w:t>
            </w:r>
            <w:proofErr w:type="spellStart"/>
            <w:r w:rsidRPr="004A1983">
              <w:rPr>
                <w:sz w:val="24"/>
                <w:szCs w:val="26"/>
                <w:lang w:eastAsia="ro-RO"/>
              </w:rPr>
              <w:t>and</w:t>
            </w:r>
            <w:proofErr w:type="spellEnd"/>
            <w:r w:rsidRPr="004A1983">
              <w:rPr>
                <w:sz w:val="24"/>
                <w:szCs w:val="26"/>
                <w:lang w:eastAsia="ro-RO"/>
              </w:rPr>
              <w:t xml:space="preserve"> cancer of vulva, </w:t>
            </w:r>
            <w:proofErr w:type="spellStart"/>
            <w:r w:rsidRPr="004A1983">
              <w:rPr>
                <w:sz w:val="24"/>
                <w:szCs w:val="26"/>
                <w:lang w:eastAsia="ro-RO"/>
              </w:rPr>
              <w:t>vagina</w:t>
            </w:r>
            <w:proofErr w:type="spellEnd"/>
            <w:r w:rsidRPr="004A1983">
              <w:rPr>
                <w:sz w:val="24"/>
                <w:szCs w:val="26"/>
                <w:lang w:eastAsia="ro-RO"/>
              </w:rPr>
              <w:t xml:space="preserve"> </w:t>
            </w:r>
            <w:proofErr w:type="spellStart"/>
            <w:r w:rsidRPr="004A1983">
              <w:rPr>
                <w:sz w:val="24"/>
                <w:szCs w:val="26"/>
                <w:lang w:eastAsia="ro-RO"/>
              </w:rPr>
              <w:t>and</w:t>
            </w:r>
            <w:proofErr w:type="spellEnd"/>
            <w:r w:rsidRPr="004A1983">
              <w:rPr>
                <w:sz w:val="24"/>
                <w:szCs w:val="26"/>
                <w:lang w:eastAsia="ro-RO"/>
              </w:rPr>
              <w:t xml:space="preserve"> cervix.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13B45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41003126" w14:textId="77777777" w:rsidTr="00E92162">
        <w:trPr>
          <w:trHeight w:val="1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20C55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10.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1650" w14:textId="77777777" w:rsidR="00E92162" w:rsidRPr="004A1983" w:rsidRDefault="00E92162" w:rsidP="00324CE0">
            <w:pPr>
              <w:rPr>
                <w:sz w:val="24"/>
                <w:szCs w:val="26"/>
                <w:lang w:eastAsia="ro-RO"/>
              </w:rPr>
            </w:pPr>
            <w:r w:rsidRPr="004A1983">
              <w:rPr>
                <w:color w:val="000000"/>
                <w:sz w:val="24"/>
                <w:szCs w:val="26"/>
                <w:lang w:val="en-US" w:eastAsia="ro-RO"/>
              </w:rPr>
              <w:t>Diseases of corpus uteri. Uterine leiomyoma. Adenomyosis. Endometrial cancer.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4B13C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40FC4B78" w14:textId="77777777" w:rsidTr="00E92162">
        <w:trPr>
          <w:trHeight w:val="2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A5D4A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11.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9BB98" w14:textId="77777777" w:rsidR="00E92162" w:rsidRPr="004A1983" w:rsidRDefault="00E92162" w:rsidP="00324CE0">
            <w:pPr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color w:val="000000"/>
                <w:sz w:val="24"/>
                <w:szCs w:val="26"/>
                <w:lang w:val="en-US" w:eastAsia="ro-RO"/>
              </w:rPr>
              <w:t xml:space="preserve">Ovarian diseases.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E9CA6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52F1168B" w14:textId="77777777" w:rsidTr="00E92162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81928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12.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9CFD9" w14:textId="77777777" w:rsidR="00E92162" w:rsidRPr="004A1983" w:rsidRDefault="00E92162" w:rsidP="00324CE0">
            <w:pPr>
              <w:rPr>
                <w:color w:val="000000"/>
                <w:sz w:val="24"/>
                <w:szCs w:val="26"/>
                <w:lang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Infertility. Assisted reproductive technologies.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79A24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5FA3A9AA" w14:textId="77777777" w:rsidTr="00E92162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A692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13.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4DADE" w14:textId="77777777" w:rsidR="00E92162" w:rsidRPr="004A1983" w:rsidRDefault="00E92162" w:rsidP="00324CE0">
            <w:pPr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color w:val="000000"/>
                <w:sz w:val="24"/>
                <w:szCs w:val="26"/>
                <w:lang w:val="en-US" w:eastAsia="ro-RO"/>
              </w:rPr>
              <w:t>Menopause. Hormone replacement therapy.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80D1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0FF7D763" w14:textId="77777777" w:rsidTr="00E92162">
        <w:trPr>
          <w:trHeight w:val="2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0D380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14.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E88D4" w14:textId="77777777" w:rsidR="00E92162" w:rsidRPr="004A1983" w:rsidRDefault="00E92162" w:rsidP="00324CE0">
            <w:pPr>
              <w:rPr>
                <w:sz w:val="24"/>
                <w:szCs w:val="26"/>
                <w:lang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Antenatal care in normal pregnancy. Diagnosis of pregnancy.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F0BF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792E58A0" w14:textId="77777777" w:rsidTr="00E92162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E9827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15.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FE9EE" w14:textId="77777777" w:rsidR="00E92162" w:rsidRPr="004A1983" w:rsidRDefault="00E92162" w:rsidP="00324CE0">
            <w:pPr>
              <w:rPr>
                <w:rFonts w:eastAsia="Calibri"/>
                <w:sz w:val="24"/>
                <w:szCs w:val="26"/>
                <w:lang w:val="en-US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Antenatal care in normal pregnancy. Monitoring of fetal growth. Management of common symptoms of pregnancy.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E4087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3BF8B0BC" w14:textId="77777777" w:rsidTr="00E92162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AED50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16.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EBAD9" w14:textId="77777777" w:rsidR="00E92162" w:rsidRPr="004A1983" w:rsidRDefault="00E92162" w:rsidP="00324CE0">
            <w:pPr>
              <w:rPr>
                <w:rFonts w:eastAsia="Calibri"/>
                <w:sz w:val="24"/>
                <w:szCs w:val="26"/>
                <w:lang w:val="en-US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Normal labor. Stages of labor. First stage of labor. </w:t>
            </w:r>
            <w:proofErr w:type="spellStart"/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Partogram</w:t>
            </w:r>
            <w:proofErr w:type="spellEnd"/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. Labor analgesia.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31E28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5806D619" w14:textId="77777777" w:rsidTr="00E92162">
        <w:trPr>
          <w:trHeight w:val="2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0EBB8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17.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FE05E" w14:textId="77777777" w:rsidR="00E92162" w:rsidRPr="004A1983" w:rsidRDefault="00E92162" w:rsidP="00324CE0">
            <w:pPr>
              <w:rPr>
                <w:rFonts w:eastAsia="Calibri"/>
                <w:sz w:val="24"/>
                <w:szCs w:val="26"/>
                <w:lang w:val="en-US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Management of the II and III stage of normal labor. Mechanism of labor and delivery in anterior and posterior occipital presentation. Apgar score. Immediate postpartum period.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F268D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641646F7" w14:textId="77777777" w:rsidTr="00E92162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065FC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18.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5336A" w14:textId="77777777" w:rsidR="00E92162" w:rsidRPr="004A1983" w:rsidRDefault="00E92162" w:rsidP="00324CE0">
            <w:pPr>
              <w:rPr>
                <w:rFonts w:eastAsia="Calibri"/>
                <w:sz w:val="24"/>
                <w:szCs w:val="26"/>
                <w:lang w:val="en-US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The normal puerperium. Management. Evaluation of newborn. Breastfeeding and care for full term newborn.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2C32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69A8E84F" w14:textId="77777777" w:rsidTr="00E92162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528A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19.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445B0" w14:textId="77777777" w:rsidR="00E92162" w:rsidRPr="004A1983" w:rsidRDefault="00E92162" w:rsidP="00324CE0">
            <w:pPr>
              <w:rPr>
                <w:rFonts w:eastAsia="Calibri"/>
                <w:sz w:val="24"/>
                <w:szCs w:val="26"/>
                <w:lang w:val="en-US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Diagnosis and management of hemorrhages during pregnancy.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22457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7B2B403A" w14:textId="77777777" w:rsidTr="00E92162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4FC37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20.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C7177" w14:textId="77777777" w:rsidR="00E92162" w:rsidRPr="004A1983" w:rsidRDefault="00E92162" w:rsidP="00324CE0">
            <w:pPr>
              <w:rPr>
                <w:rFonts w:eastAsia="Calibri"/>
                <w:sz w:val="24"/>
                <w:szCs w:val="26"/>
                <w:lang w:val="en-US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Diagnosis and management of postpartum hemorrhages. Hemorrhagic shock. DIC syndrome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9D7DF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0D6B3FF6" w14:textId="77777777" w:rsidTr="00E92162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BF671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21.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A332E" w14:textId="77777777" w:rsidR="00E92162" w:rsidRPr="004A1983" w:rsidRDefault="00E92162" w:rsidP="00324CE0">
            <w:pPr>
              <w:spacing w:after="200"/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Preterm labor and delivery. Principles of management. </w:t>
            </w:r>
            <w:proofErr w:type="spellStart"/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Prelabor</w:t>
            </w:r>
            <w:proofErr w:type="spellEnd"/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 rupture of membranes.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354A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0CD92DD8" w14:textId="77777777" w:rsidTr="00E92162">
        <w:trPr>
          <w:trHeight w:val="2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17F4E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22.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DC35B" w14:textId="77777777" w:rsidR="00E92162" w:rsidRPr="004A1983" w:rsidRDefault="00E92162" w:rsidP="00324CE0">
            <w:pPr>
              <w:spacing w:after="200"/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Hypertensive disorders during pregnancy.</w:t>
            </w:r>
            <w:r w:rsidRPr="004A1983">
              <w:rPr>
                <w:color w:val="000000"/>
                <w:sz w:val="24"/>
                <w:szCs w:val="26"/>
                <w:lang w:val="en-US" w:eastAsia="ro-RO"/>
              </w:rPr>
              <w:t xml:space="preserve"> Preeclampsia and eclampsia. HELLP syndrome.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42BC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18F91691" w14:textId="77777777" w:rsidTr="00E92162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8194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23.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7B088" w14:textId="77777777" w:rsidR="00E92162" w:rsidRPr="004A1983" w:rsidRDefault="00E92162" w:rsidP="00324CE0">
            <w:pPr>
              <w:spacing w:after="200"/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Fetal growths disturbances. Monitoring of fetal well-being. Fetal growth restriction.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C19DE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2F19E652" w14:textId="77777777" w:rsidTr="00E92162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38601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24.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8993A" w14:textId="77777777" w:rsidR="00E92162" w:rsidRPr="004A1983" w:rsidRDefault="00E92162" w:rsidP="00324CE0">
            <w:pPr>
              <w:spacing w:after="200"/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Breach presentation. Multiple pregnancy. Vaginal birth after cesarean section.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F6C6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2C340F1A" w14:textId="77777777" w:rsidTr="00E92162">
        <w:trPr>
          <w:trHeight w:val="2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5954F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25.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DB00B" w14:textId="77777777" w:rsidR="00E92162" w:rsidRPr="004A1983" w:rsidRDefault="00E92162" w:rsidP="00324CE0">
            <w:pPr>
              <w:spacing w:after="200"/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Post-term pregnancy. Antepartum fetal death. Induction of labor.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7869D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08B319AF" w14:textId="77777777" w:rsidTr="00E92162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418A8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26.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2D86C" w14:textId="77777777" w:rsidR="00E92162" w:rsidRPr="004A1983" w:rsidRDefault="00E92162" w:rsidP="00324CE0">
            <w:pPr>
              <w:spacing w:after="200"/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Unsatisfactory progress of labor. Obstructed labor. Macrosomia. Malpresentations. Shoulder dystocia. Pathology of uterine contractions.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7696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3C4BD0C5" w14:textId="77777777" w:rsidTr="00E92162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D0319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27</w:t>
            </w: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CBC95" w14:textId="77777777" w:rsidR="00E92162" w:rsidRPr="004A1983" w:rsidRDefault="00E92162" w:rsidP="00324CE0">
            <w:pPr>
              <w:spacing w:after="200"/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Puerperal infections.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8C8D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1AFFA7C4" w14:textId="77777777" w:rsidTr="00E92162">
        <w:trPr>
          <w:trHeight w:val="6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4DD59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lastRenderedPageBreak/>
              <w:t>28</w:t>
            </w: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C799F" w14:textId="77777777" w:rsidR="00E92162" w:rsidRPr="004A1983" w:rsidRDefault="00E92162" w:rsidP="00324CE0">
            <w:pPr>
              <w:spacing w:after="200"/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>Operative obstetrics. Cesarean section. Assisted vaginal delivery. External and internal cephalic version.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29DE2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E92162" w:rsidRPr="004A1983" w14:paraId="0D471E79" w14:textId="77777777" w:rsidTr="00E92162">
        <w:trPr>
          <w:trHeight w:val="6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3DAAD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29</w:t>
            </w: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8FBD5" w14:textId="77777777" w:rsidR="00E92162" w:rsidRPr="004A1983" w:rsidRDefault="00E92162" w:rsidP="00324CE0">
            <w:pPr>
              <w:spacing w:after="200"/>
              <w:rPr>
                <w:color w:val="000000"/>
                <w:sz w:val="24"/>
                <w:szCs w:val="26"/>
                <w:lang w:val="en-US" w:eastAsia="ro-RO"/>
              </w:rPr>
            </w:pPr>
            <w:r w:rsidRPr="004A1983">
              <w:rPr>
                <w:rFonts w:eastAsia="Calibri"/>
                <w:sz w:val="24"/>
                <w:szCs w:val="26"/>
                <w:lang w:val="en-US" w:eastAsia="en-US"/>
              </w:rPr>
              <w:t xml:space="preserve">Thrombo-embolic complications in pregnancy and postpartum. Amniotic fluid embolism. Cardiopulmonary resuscitation in pregnancy.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2042E" w14:textId="77777777" w:rsidR="00E92162" w:rsidRPr="004A1983" w:rsidRDefault="00E92162" w:rsidP="00324CE0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</w:tbl>
    <w:p w14:paraId="4DB9D1B5" w14:textId="77777777" w:rsidR="00C6420F" w:rsidRPr="00E92162" w:rsidRDefault="00C6420F" w:rsidP="002303EA">
      <w:pPr>
        <w:rPr>
          <w:rFonts w:eastAsia="Calibri"/>
          <w:b/>
          <w:sz w:val="24"/>
          <w:szCs w:val="22"/>
          <w:lang w:val="en-US" w:eastAsia="en-US"/>
        </w:rPr>
      </w:pPr>
      <w:r w:rsidRPr="00E92162">
        <w:rPr>
          <w:rFonts w:eastAsia="Calibri"/>
          <w:b/>
          <w:sz w:val="24"/>
          <w:szCs w:val="22"/>
          <w:lang w:val="en-US" w:eastAsia="en-US"/>
        </w:rPr>
        <w:t xml:space="preserve">                                                                                                                  </w:t>
      </w:r>
    </w:p>
    <w:p w14:paraId="6CAEDCED" w14:textId="654451BF" w:rsidR="00C6420F" w:rsidRPr="00E92162" w:rsidRDefault="00C6420F" w:rsidP="002303EA">
      <w:pPr>
        <w:jc w:val="right"/>
        <w:rPr>
          <w:rFonts w:eastAsia="Calibri"/>
          <w:b/>
          <w:sz w:val="22"/>
          <w:szCs w:val="22"/>
          <w:lang w:val="en-US" w:eastAsia="en-US"/>
        </w:rPr>
      </w:pPr>
      <w:r w:rsidRPr="00E92162">
        <w:rPr>
          <w:rFonts w:eastAsia="Calibri"/>
          <w:b/>
          <w:szCs w:val="22"/>
          <w:lang w:val="en-US" w:eastAsia="en-US"/>
        </w:rPr>
        <w:t xml:space="preserve">  </w:t>
      </w:r>
      <w:r w:rsidRPr="00E92162">
        <w:rPr>
          <w:rFonts w:eastAsia="Calibri"/>
          <w:b/>
          <w:sz w:val="22"/>
          <w:szCs w:val="22"/>
          <w:lang w:val="en-US" w:eastAsia="en-US"/>
        </w:rPr>
        <w:t>TOTAL: 1</w:t>
      </w:r>
      <w:r w:rsidR="00E92162">
        <w:rPr>
          <w:rFonts w:eastAsia="Calibri"/>
          <w:b/>
          <w:sz w:val="22"/>
          <w:szCs w:val="22"/>
          <w:lang w:val="en-US" w:eastAsia="en-US"/>
        </w:rPr>
        <w:t>45</w:t>
      </w:r>
      <w:r w:rsidRPr="00E92162">
        <w:rPr>
          <w:rFonts w:eastAsia="Calibri"/>
          <w:b/>
          <w:sz w:val="22"/>
          <w:szCs w:val="22"/>
          <w:lang w:val="en-US" w:eastAsia="en-US"/>
        </w:rPr>
        <w:t xml:space="preserve"> hours</w:t>
      </w:r>
    </w:p>
    <w:p w14:paraId="0B5E5794" w14:textId="77777777" w:rsidR="00C6420F" w:rsidRPr="00E92162" w:rsidRDefault="00C6420F" w:rsidP="00C6420F">
      <w:pPr>
        <w:jc w:val="right"/>
        <w:rPr>
          <w:rFonts w:eastAsia="Calibri"/>
          <w:b/>
          <w:sz w:val="24"/>
          <w:szCs w:val="22"/>
          <w:lang w:val="en-US" w:eastAsia="en-US"/>
        </w:rPr>
      </w:pPr>
    </w:p>
    <w:p w14:paraId="3D527666" w14:textId="77777777" w:rsidR="00C6420F" w:rsidRPr="00E92162" w:rsidRDefault="00C6420F" w:rsidP="00C6420F">
      <w:pPr>
        <w:jc w:val="right"/>
        <w:rPr>
          <w:rFonts w:eastAsia="Calibri"/>
          <w:b/>
          <w:sz w:val="24"/>
          <w:szCs w:val="22"/>
          <w:lang w:val="en-US" w:eastAsia="en-US"/>
        </w:rPr>
      </w:pPr>
    </w:p>
    <w:p w14:paraId="1F94F249" w14:textId="77777777" w:rsidR="00C6420F" w:rsidRPr="00E92162" w:rsidRDefault="00C6420F" w:rsidP="00C6420F">
      <w:pPr>
        <w:rPr>
          <w:rFonts w:eastAsia="Calibri"/>
          <w:sz w:val="22"/>
          <w:szCs w:val="22"/>
          <w:lang w:val="en-US" w:eastAsia="en-US"/>
        </w:rPr>
      </w:pPr>
    </w:p>
    <w:p w14:paraId="47B3A8FF" w14:textId="435B27B2" w:rsidR="00C6420F" w:rsidRPr="00C6420F" w:rsidRDefault="008757E5" w:rsidP="00C6420F">
      <w:pPr>
        <w:rPr>
          <w:lang w:val="en-US"/>
        </w:rPr>
      </w:pPr>
      <w:r w:rsidRPr="002303EA">
        <w:rPr>
          <w:rFonts w:ascii="Cambria Math" w:eastAsia="Calibri" w:hAnsi="Cambria Math" w:cs="Cambria Math"/>
          <w:sz w:val="24"/>
          <w:szCs w:val="22"/>
          <w:lang w:val="en-US" w:eastAsia="en-US"/>
        </w:rPr>
        <w:t>Chief of Department</w:t>
      </w:r>
      <w:r w:rsidRPr="002303EA">
        <w:rPr>
          <w:rFonts w:eastAsia="Calibri"/>
          <w:sz w:val="24"/>
          <w:szCs w:val="22"/>
          <w:lang w:val="en-US" w:eastAsia="en-US"/>
        </w:rPr>
        <w:t>, Professor</w:t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  <w:t xml:space="preserve">Valentin </w:t>
      </w:r>
      <w:proofErr w:type="spellStart"/>
      <w:r w:rsidR="00C6420F" w:rsidRPr="002303EA">
        <w:rPr>
          <w:rFonts w:eastAsia="Calibri"/>
          <w:sz w:val="24"/>
          <w:szCs w:val="22"/>
          <w:lang w:val="en-US" w:eastAsia="en-US"/>
        </w:rPr>
        <w:t>Friptu</w:t>
      </w:r>
      <w:proofErr w:type="spellEnd"/>
      <w:r w:rsidR="00C6420F" w:rsidRPr="002303EA">
        <w:rPr>
          <w:rFonts w:eastAsia="Calibri"/>
          <w:sz w:val="24"/>
          <w:szCs w:val="22"/>
          <w:lang w:val="en-US" w:eastAsia="en-US"/>
        </w:rPr>
        <w:t xml:space="preserve">  </w:t>
      </w:r>
    </w:p>
    <w:sectPr w:rsidR="00C6420F" w:rsidRPr="00C6420F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05"/>
    <w:rsid w:val="00055D05"/>
    <w:rsid w:val="00076B86"/>
    <w:rsid w:val="000934AE"/>
    <w:rsid w:val="0012241D"/>
    <w:rsid w:val="001B4349"/>
    <w:rsid w:val="001E74A7"/>
    <w:rsid w:val="002303EA"/>
    <w:rsid w:val="0028070B"/>
    <w:rsid w:val="0037136A"/>
    <w:rsid w:val="0043721E"/>
    <w:rsid w:val="004704B3"/>
    <w:rsid w:val="004A1983"/>
    <w:rsid w:val="00503639"/>
    <w:rsid w:val="00504247"/>
    <w:rsid w:val="00513128"/>
    <w:rsid w:val="005331A5"/>
    <w:rsid w:val="005612A5"/>
    <w:rsid w:val="00661262"/>
    <w:rsid w:val="006C093A"/>
    <w:rsid w:val="006E78AB"/>
    <w:rsid w:val="00710C2D"/>
    <w:rsid w:val="0071673F"/>
    <w:rsid w:val="008757E5"/>
    <w:rsid w:val="0089201A"/>
    <w:rsid w:val="009300E5"/>
    <w:rsid w:val="009503FB"/>
    <w:rsid w:val="00A21F15"/>
    <w:rsid w:val="00A44C86"/>
    <w:rsid w:val="00B455EF"/>
    <w:rsid w:val="00B61A42"/>
    <w:rsid w:val="00B80A34"/>
    <w:rsid w:val="00C24972"/>
    <w:rsid w:val="00C6420F"/>
    <w:rsid w:val="00CB6BB1"/>
    <w:rsid w:val="00D60EF7"/>
    <w:rsid w:val="00E03056"/>
    <w:rsid w:val="00E92162"/>
    <w:rsid w:val="00E95619"/>
    <w:rsid w:val="00EA7DC0"/>
    <w:rsid w:val="00EE5001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5D4E"/>
  <w15:docId w15:val="{E6B8619E-EEB2-4337-A637-29036D2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D60EF7"/>
    <w:pPr>
      <w:keepNext/>
      <w:jc w:val="righ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0EF7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D60EF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71673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16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47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</dc:creator>
  <cp:lastModifiedBy>Microsoft Office User</cp:lastModifiedBy>
  <cp:revision>10</cp:revision>
  <cp:lastPrinted>2019-12-05T08:28:00Z</cp:lastPrinted>
  <dcterms:created xsi:type="dcterms:W3CDTF">2018-06-08T09:00:00Z</dcterms:created>
  <dcterms:modified xsi:type="dcterms:W3CDTF">2020-09-01T18:10:00Z</dcterms:modified>
</cp:coreProperties>
</file>